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C" w:rsidRDefault="003A308C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ТАТ-ВЕРХ-ГОНЬБИНСКОГО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tabs>
          <w:tab w:val="left" w:pos="405"/>
        </w:tabs>
        <w:rPr>
          <w:rFonts w:ascii="Times New Roman" w:hAnsi="Times New Roman" w:cs="Times New Roman"/>
          <w:sz w:val="28"/>
          <w:szCs w:val="28"/>
        </w:rPr>
      </w:pPr>
    </w:p>
    <w:p w:rsidR="009511F9" w:rsidRDefault="007A246F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511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11F9" w:rsidRDefault="007A246F" w:rsidP="009511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.2024</w:t>
      </w:r>
      <w:r w:rsidR="009511F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8A527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99729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C3CA6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77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Тат-Верх-Гоньба</w:t>
      </w:r>
    </w:p>
    <w:p w:rsidR="008A5275" w:rsidRDefault="008A5275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   одобрении прогноза социально-экономического развития </w:t>
      </w:r>
    </w:p>
    <w:p w:rsidR="009511F9" w:rsidRDefault="009511F9" w:rsidP="009511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Тат-Верх-Гоньбинского  сельского поселения  Малмыжского района Кировской области</w:t>
      </w:r>
    </w:p>
    <w:p w:rsidR="009511F9" w:rsidRDefault="009511F9" w:rsidP="009511F9">
      <w:pPr>
        <w:jc w:val="center"/>
        <w:rPr>
          <w:sz w:val="28"/>
          <w:szCs w:val="28"/>
        </w:rPr>
      </w:pPr>
    </w:p>
    <w:p w:rsidR="009511F9" w:rsidRDefault="009511F9" w:rsidP="0095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соответствии со статьями 173, 184.2, 185 Бюджетного кодекса Российской Федерации, администрация Тат-Верх-Гоньбинского  сельского поселения ПОСТАНОВЛЯЕТ: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Одобрить прогноз социально-экономического развития Тат-Верх-Гоньбинского  сельского поселения на 20</w:t>
      </w:r>
      <w:r w:rsidR="00DC672A">
        <w:rPr>
          <w:sz w:val="28"/>
          <w:szCs w:val="28"/>
        </w:rPr>
        <w:t>2</w:t>
      </w:r>
      <w:r w:rsidR="00FA773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A7730">
        <w:rPr>
          <w:sz w:val="28"/>
          <w:szCs w:val="28"/>
        </w:rPr>
        <w:t>7</w:t>
      </w:r>
      <w:r>
        <w:rPr>
          <w:sz w:val="28"/>
          <w:szCs w:val="28"/>
        </w:rPr>
        <w:t xml:space="preserve">  годы согласно приложению.</w:t>
      </w:r>
    </w:p>
    <w:p w:rsidR="009511F9" w:rsidRDefault="009511F9" w:rsidP="0095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Внести проект </w:t>
      </w:r>
      <w:r>
        <w:rPr>
          <w:color w:val="000000"/>
          <w:sz w:val="28"/>
          <w:szCs w:val="28"/>
        </w:rPr>
        <w:t xml:space="preserve">бюджета муниципального образования </w:t>
      </w:r>
      <w:r w:rsidR="00362036">
        <w:rPr>
          <w:sz w:val="28"/>
          <w:szCs w:val="28"/>
        </w:rPr>
        <w:t>Тат-Верх-Гоньбинское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сельское поселение Малмыжского</w:t>
      </w:r>
      <w:r w:rsidR="00F85C99">
        <w:rPr>
          <w:color w:val="000000"/>
          <w:sz w:val="28"/>
          <w:szCs w:val="28"/>
        </w:rPr>
        <w:t xml:space="preserve"> </w:t>
      </w:r>
      <w:r w:rsidR="00AA3733">
        <w:rPr>
          <w:color w:val="000000"/>
          <w:sz w:val="28"/>
          <w:szCs w:val="28"/>
        </w:rPr>
        <w:t>района Кировской области на 202</w:t>
      </w:r>
      <w:r w:rsidR="00FA77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 </w:t>
      </w:r>
      <w:r>
        <w:rPr>
          <w:rFonts w:eastAsia="A"/>
          <w:color w:val="000000"/>
          <w:sz w:val="28"/>
          <w:szCs w:val="28"/>
        </w:rPr>
        <w:t>и плановый период 202</w:t>
      </w:r>
      <w:r w:rsidR="00FA7730">
        <w:rPr>
          <w:rFonts w:eastAsia="A"/>
          <w:color w:val="000000"/>
          <w:sz w:val="28"/>
          <w:szCs w:val="28"/>
        </w:rPr>
        <w:t>6</w:t>
      </w:r>
      <w:r>
        <w:rPr>
          <w:rFonts w:eastAsia="A"/>
          <w:color w:val="000000"/>
          <w:sz w:val="28"/>
          <w:szCs w:val="28"/>
        </w:rPr>
        <w:t xml:space="preserve"> и 202</w:t>
      </w:r>
      <w:r w:rsidR="00FA7730">
        <w:rPr>
          <w:rFonts w:eastAsia="A"/>
          <w:color w:val="000000"/>
          <w:sz w:val="28"/>
          <w:szCs w:val="28"/>
        </w:rPr>
        <w:t>7</w:t>
      </w:r>
      <w:r>
        <w:rPr>
          <w:rFonts w:eastAsia="A"/>
          <w:color w:val="000000"/>
          <w:sz w:val="28"/>
          <w:szCs w:val="28"/>
        </w:rPr>
        <w:t xml:space="preserve"> годов</w:t>
      </w:r>
      <w:r>
        <w:rPr>
          <w:rFonts w:eastAsia="A"/>
          <w:color w:val="FF0000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на рассмотрение в сельскую Думу.</w:t>
      </w:r>
    </w:p>
    <w:p w:rsidR="009511F9" w:rsidRDefault="009511F9" w:rsidP="009511F9">
      <w:pPr>
        <w:pStyle w:val="ConsPlusNormal"/>
        <w:widowControl/>
        <w:ind w:firstLine="0"/>
        <w:jc w:val="both"/>
        <w:rPr>
          <w:sz w:val="28"/>
        </w:rPr>
      </w:pPr>
    </w:p>
    <w:p w:rsidR="008A5275" w:rsidRDefault="008A5275" w:rsidP="009511F9">
      <w:pPr>
        <w:pStyle w:val="ConsPlusNormal"/>
        <w:widowControl/>
        <w:ind w:firstLine="0"/>
        <w:jc w:val="both"/>
        <w:rPr>
          <w:sz w:val="28"/>
        </w:rPr>
      </w:pPr>
    </w:p>
    <w:p w:rsidR="009511F9" w:rsidRDefault="00F85C9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11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11F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9511F9" w:rsidRDefault="009511F9" w:rsidP="00951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Тат-Верх-Гоньбинского</w:t>
      </w:r>
    </w:p>
    <w:p w:rsidR="00D15516" w:rsidRDefault="009511F9" w:rsidP="009511F9">
      <w:pPr>
        <w:rPr>
          <w:sz w:val="28"/>
          <w:szCs w:val="28"/>
        </w:rPr>
        <w:sectPr w:rsidR="00D15516" w:rsidSect="003A308C">
          <w:pgSz w:w="11906" w:h="16838"/>
          <w:pgMar w:top="567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AD493F">
        <w:rPr>
          <w:sz w:val="28"/>
          <w:szCs w:val="28"/>
        </w:rPr>
        <w:t xml:space="preserve"> </w:t>
      </w:r>
      <w:r w:rsidR="00F85C99">
        <w:rPr>
          <w:sz w:val="28"/>
          <w:szCs w:val="28"/>
        </w:rPr>
        <w:t xml:space="preserve">          </w:t>
      </w:r>
      <w:r w:rsidR="00F85C99">
        <w:rPr>
          <w:color w:val="000000"/>
          <w:sz w:val="28"/>
          <w:szCs w:val="28"/>
        </w:rPr>
        <w:t>А.И.Шакиров</w:t>
      </w:r>
    </w:p>
    <w:p w:rsidR="00D15516" w:rsidRDefault="00D15516" w:rsidP="00D15516">
      <w:pPr>
        <w:rPr>
          <w:sz w:val="28"/>
          <w:szCs w:val="28"/>
        </w:rPr>
      </w:pP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E29F4">
        <w:rPr>
          <w:sz w:val="28"/>
          <w:szCs w:val="28"/>
        </w:rPr>
        <w:t xml:space="preserve">            Приложение 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ОДОБРЕН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15516" w:rsidRDefault="00D15516" w:rsidP="00D15516">
      <w:pPr>
        <w:tabs>
          <w:tab w:val="left" w:pos="7400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сельского поселения</w:t>
      </w:r>
    </w:p>
    <w:p w:rsidR="00D15516" w:rsidRDefault="00D15516" w:rsidP="00D15516">
      <w:pPr>
        <w:tabs>
          <w:tab w:val="left" w:pos="7400"/>
        </w:tabs>
        <w:ind w:left="5103"/>
        <w:jc w:val="right"/>
        <w:rPr>
          <w:sz w:val="28"/>
          <w:szCs w:val="28"/>
        </w:rPr>
      </w:pPr>
    </w:p>
    <w:tbl>
      <w:tblPr>
        <w:tblW w:w="17372" w:type="dxa"/>
        <w:tblInd w:w="90" w:type="dxa"/>
        <w:tblLook w:val="04A0"/>
      </w:tblPr>
      <w:tblGrid>
        <w:gridCol w:w="200"/>
        <w:gridCol w:w="179"/>
        <w:gridCol w:w="460"/>
        <w:gridCol w:w="2168"/>
        <w:gridCol w:w="2782"/>
        <w:gridCol w:w="962"/>
        <w:gridCol w:w="1051"/>
        <w:gridCol w:w="337"/>
        <w:gridCol w:w="714"/>
        <w:gridCol w:w="1051"/>
        <w:gridCol w:w="223"/>
        <w:gridCol w:w="828"/>
        <w:gridCol w:w="1051"/>
        <w:gridCol w:w="298"/>
        <w:gridCol w:w="1129"/>
        <w:gridCol w:w="612"/>
        <w:gridCol w:w="241"/>
        <w:gridCol w:w="818"/>
        <w:gridCol w:w="106"/>
        <w:gridCol w:w="267"/>
        <w:gridCol w:w="599"/>
        <w:gridCol w:w="349"/>
        <w:gridCol w:w="267"/>
        <w:gridCol w:w="267"/>
        <w:gridCol w:w="267"/>
        <w:gridCol w:w="267"/>
        <w:gridCol w:w="222"/>
        <w:gridCol w:w="222"/>
        <w:gridCol w:w="222"/>
      </w:tblGrid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806817" w:rsidRPr="00D15516" w:rsidTr="00806817">
        <w:trPr>
          <w:gridBefore w:val="1"/>
          <w:wBefore w:w="200" w:type="dxa"/>
          <w:trHeight w:val="255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11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Форма по прогнозу развития поселений</w:t>
            </w:r>
          </w:p>
        </w:tc>
      </w:tr>
      <w:tr w:rsidR="00AA3733" w:rsidRPr="00AA3733" w:rsidTr="00806817">
        <w:trPr>
          <w:gridAfter w:val="16"/>
          <w:wAfter w:w="6145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Тат-Верх-Гоньбинское сельское поселение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Един</w:t>
            </w:r>
            <w:proofErr w:type="gramStart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  <w:proofErr w:type="gram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</w:t>
            </w:r>
            <w:proofErr w:type="gram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змер</w:t>
            </w:r>
            <w:proofErr w:type="spellEnd"/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  отчет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 оценка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2025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2026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3733" w:rsidRPr="00AA3733" w:rsidRDefault="00FA7730" w:rsidP="0080681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2027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 </w:t>
            </w:r>
            <w:proofErr w:type="spellStart"/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</w:t>
            </w:r>
            <w:r w:rsidR="00AA3733"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AA3733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48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постоянного населения 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80681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33">
              <w:rPr>
                <w:rFonts w:ascii="Arial" w:hAnsi="Arial" w:cs="Arial"/>
                <w:sz w:val="20"/>
                <w:szCs w:val="20"/>
              </w:rPr>
              <w:t>5</w:t>
            </w:r>
            <w:r w:rsidR="00FA7730">
              <w:rPr>
                <w:rFonts w:ascii="Arial" w:hAnsi="Arial" w:cs="Arial"/>
                <w:sz w:val="20"/>
                <w:szCs w:val="20"/>
              </w:rPr>
              <w:t>6</w:t>
            </w:r>
            <w:r w:rsidR="003A30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733" w:rsidRPr="00AA3733" w:rsidRDefault="003A308C" w:rsidP="00AA3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A77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A773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72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из них численность детей в возрасте 0-17 лет включительно на конец </w:t>
            </w:r>
            <w:r w:rsidR="00806817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года </w:t>
            </w: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(раздел "Население")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AA373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FA7730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3A308C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1200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"Баланс трудовых ресурсов")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806817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3A308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80681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FA7730">
              <w:rPr>
                <w:rFonts w:ascii="Arial CYR" w:hAnsi="Arial CYR" w:cs="Arial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C566F3">
        <w:trPr>
          <w:gridAfter w:val="9"/>
          <w:wAfter w:w="2676" w:type="dxa"/>
          <w:trHeight w:val="383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Фонд оплаты труда (раздел "Труд")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A3733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464E1B" w:rsidP="00AA37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</w:t>
            </w:r>
            <w:r w:rsidR="00806817">
              <w:rPr>
                <w:rFonts w:ascii="Arial CYR" w:hAnsi="Arial CYR" w:cs="Arial CYR"/>
                <w:sz w:val="16"/>
                <w:szCs w:val="16"/>
              </w:rPr>
              <w:t>ыс</w:t>
            </w:r>
            <w:proofErr w:type="gramStart"/>
            <w:r w:rsidR="00806817"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 w:rsidR="00806817">
              <w:rPr>
                <w:rFonts w:ascii="Arial CYR" w:hAnsi="Arial CYR" w:cs="Arial CYR"/>
                <w:sz w:val="16"/>
                <w:szCs w:val="16"/>
              </w:rPr>
              <w:t>уб.</w:t>
            </w:r>
            <w:r w:rsidR="00AA3733" w:rsidRPr="00AA37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51044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56675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62547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68376</w:t>
            </w:r>
            <w:r w:rsidR="003A308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73605</w:t>
            </w:r>
            <w:r w:rsidR="008068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73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  <w:tr w:rsidR="00464E1B" w:rsidRPr="00AA3733" w:rsidTr="00806817">
        <w:trPr>
          <w:gridAfter w:val="9"/>
          <w:wAfter w:w="2676" w:type="dxa"/>
          <w:trHeight w:val="255"/>
        </w:trPr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A3733">
              <w:rPr>
                <w:rFonts w:ascii="Arial CYR" w:hAnsi="Arial CYR" w:cs="Arial CYR"/>
                <w:color w:val="000000"/>
                <w:sz w:val="20"/>
                <w:szCs w:val="20"/>
              </w:rPr>
              <w:t>Тат-Верх-Гоньбинское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AA3733" w:rsidP="00AA3733">
            <w:pPr>
              <w:rPr>
                <w:rFonts w:ascii="Arial CYR" w:hAnsi="Arial CYR" w:cs="Arial CYR"/>
                <w:sz w:val="18"/>
                <w:szCs w:val="18"/>
              </w:rPr>
            </w:pPr>
            <w:r w:rsidRPr="00AA3733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тыс</w:t>
            </w:r>
            <w:proofErr w:type="gramStart"/>
            <w:r w:rsidR="00464E1B"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 w:rsidR="00464E1B">
              <w:rPr>
                <w:rFonts w:ascii="Arial CYR" w:hAnsi="Arial CYR" w:cs="Arial CYR"/>
                <w:sz w:val="18"/>
                <w:szCs w:val="18"/>
              </w:rPr>
              <w:t>уб.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73249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>
              <w:rPr>
                <w:rFonts w:ascii="Arial CYR" w:hAnsi="Arial CYR" w:cs="Arial CYR"/>
                <w:sz w:val="18"/>
                <w:szCs w:val="18"/>
              </w:rPr>
              <w:t>80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18044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19005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,0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19689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733" w:rsidRPr="00AA3733" w:rsidRDefault="00C566F3" w:rsidP="00AA373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41090</w:t>
            </w:r>
            <w:r w:rsidR="00464E1B">
              <w:rPr>
                <w:rFonts w:ascii="Arial CYR" w:hAnsi="Arial CYR" w:cs="Arial CYR"/>
                <w:sz w:val="18"/>
                <w:szCs w:val="18"/>
              </w:rPr>
              <w:t>,</w:t>
            </w:r>
            <w:r w:rsidR="003A308C">
              <w:rPr>
                <w:rFonts w:ascii="Arial CYR" w:hAnsi="Arial CYR" w:cs="Arial CYR"/>
                <w:sz w:val="18"/>
                <w:szCs w:val="18"/>
              </w:rPr>
              <w:t>00</w:t>
            </w:r>
          </w:p>
        </w:tc>
        <w:tc>
          <w:tcPr>
            <w:tcW w:w="2039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vAlign w:val="center"/>
            <w:hideMark/>
          </w:tcPr>
          <w:p w:rsidR="00AA3733" w:rsidRPr="00AA3733" w:rsidRDefault="00AA3733" w:rsidP="00AA3733">
            <w:pPr>
              <w:rPr>
                <w:sz w:val="20"/>
                <w:szCs w:val="20"/>
              </w:rPr>
            </w:pPr>
          </w:p>
        </w:tc>
      </w:tr>
    </w:tbl>
    <w:p w:rsidR="009D5B5D" w:rsidRDefault="009D5B5D" w:rsidP="00D15516">
      <w:pPr>
        <w:rPr>
          <w:rFonts w:ascii="Arial CYR" w:hAnsi="Arial CYR" w:cs="Arial CYR"/>
          <w:sz w:val="18"/>
          <w:szCs w:val="18"/>
        </w:rPr>
        <w:sectPr w:rsidR="009D5B5D" w:rsidSect="009D5B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8976" w:type="dxa"/>
        <w:tblInd w:w="-318" w:type="dxa"/>
        <w:tblLayout w:type="fixed"/>
        <w:tblLook w:val="04A0"/>
      </w:tblPr>
      <w:tblGrid>
        <w:gridCol w:w="381"/>
        <w:gridCol w:w="3306"/>
        <w:gridCol w:w="992"/>
        <w:gridCol w:w="1112"/>
        <w:gridCol w:w="1092"/>
        <w:gridCol w:w="1227"/>
        <w:gridCol w:w="1152"/>
        <w:gridCol w:w="1226"/>
        <w:gridCol w:w="1341"/>
        <w:gridCol w:w="1225"/>
        <w:gridCol w:w="1229"/>
        <w:gridCol w:w="1152"/>
        <w:gridCol w:w="1594"/>
        <w:gridCol w:w="1239"/>
        <w:gridCol w:w="236"/>
        <w:gridCol w:w="236"/>
        <w:gridCol w:w="236"/>
      </w:tblGrid>
      <w:tr w:rsidR="00D15516" w:rsidRPr="00D15516" w:rsidTr="00D15516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5516" w:rsidRPr="00D15516" w:rsidRDefault="00D15516" w:rsidP="00D15516">
            <w:pPr>
              <w:rPr>
                <w:rFonts w:ascii="Arial CYR" w:hAnsi="Arial CYR" w:cs="Arial CYR"/>
                <w:sz w:val="18"/>
                <w:szCs w:val="18"/>
              </w:rPr>
            </w:pPr>
            <w:r w:rsidRPr="00D1551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15516" w:rsidRPr="00D15516" w:rsidRDefault="00D15516" w:rsidP="00D15516">
            <w:pPr>
              <w:rPr>
                <w:sz w:val="20"/>
                <w:szCs w:val="20"/>
              </w:rPr>
            </w:pPr>
          </w:p>
        </w:tc>
      </w:tr>
    </w:tbl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ПОЯСНИТЕЛЬНА ЗАПИСКА</w:t>
      </w:r>
    </w:p>
    <w:p w:rsidR="00D15516" w:rsidRDefault="00D15516" w:rsidP="00D15516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прогнозу социально- экономического развития </w:t>
      </w:r>
      <w:r w:rsidR="005E29F4" w:rsidRPr="005E29F4">
        <w:rPr>
          <w:b/>
          <w:color w:val="000000"/>
        </w:rPr>
        <w:t>Тат-Верх-Гоньбинского</w:t>
      </w:r>
      <w:r w:rsidR="00F85C99">
        <w:rPr>
          <w:b/>
          <w:bCs/>
          <w:sz w:val="27"/>
          <w:szCs w:val="27"/>
        </w:rPr>
        <w:t xml:space="preserve"> сельского поселения на 202</w:t>
      </w:r>
      <w:r w:rsidR="00C566F3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год и плановый период до 202</w:t>
      </w:r>
      <w:r w:rsidR="00C566F3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года</w:t>
      </w:r>
    </w:p>
    <w:p w:rsidR="00D15516" w:rsidRDefault="00D15516" w:rsidP="00D15516">
      <w:pPr>
        <w:rPr>
          <w:b/>
          <w:bCs/>
          <w:sz w:val="27"/>
          <w:szCs w:val="27"/>
        </w:rPr>
      </w:pPr>
    </w:p>
    <w:p w:rsidR="00D15516" w:rsidRPr="00543A97" w:rsidRDefault="00D15516" w:rsidP="00D15516">
      <w:pPr>
        <w:spacing w:line="276" w:lineRule="auto"/>
        <w:ind w:firstLine="709"/>
        <w:jc w:val="both"/>
        <w:rPr>
          <w:rStyle w:val="apple-converted-space"/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Прогноз социально-экономического развития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 на </w:t>
      </w:r>
      <w:r w:rsidR="00F85C99" w:rsidRPr="00543A97">
        <w:rPr>
          <w:bCs/>
          <w:color w:val="000000" w:themeColor="text1"/>
          <w:sz w:val="27"/>
          <w:szCs w:val="27"/>
        </w:rPr>
        <w:t>202</w:t>
      </w:r>
      <w:r w:rsidR="00C566F3">
        <w:rPr>
          <w:bCs/>
          <w:color w:val="000000" w:themeColor="text1"/>
          <w:sz w:val="27"/>
          <w:szCs w:val="27"/>
        </w:rPr>
        <w:t>5</w:t>
      </w:r>
      <w:r w:rsidRPr="00543A97">
        <w:rPr>
          <w:bCs/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bCs/>
          <w:color w:val="000000" w:themeColor="text1"/>
          <w:sz w:val="27"/>
          <w:szCs w:val="27"/>
        </w:rPr>
        <w:t>7</w:t>
      </w:r>
      <w:r w:rsidRPr="00543A97">
        <w:rPr>
          <w:bCs/>
          <w:color w:val="000000" w:themeColor="text1"/>
          <w:sz w:val="27"/>
          <w:szCs w:val="27"/>
        </w:rPr>
        <w:t xml:space="preserve"> года</w:t>
      </w:r>
      <w:r w:rsidRPr="00543A97">
        <w:rPr>
          <w:color w:val="000000" w:themeColor="text1"/>
          <w:sz w:val="27"/>
          <w:szCs w:val="27"/>
        </w:rPr>
        <w:t xml:space="preserve"> разработан в соответствии с законодательством Российской Федерации и постановлением администрации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поселения.</w:t>
      </w:r>
      <w:r w:rsidRPr="00543A97">
        <w:rPr>
          <w:rStyle w:val="apple-converted-space"/>
          <w:color w:val="000000" w:themeColor="text1"/>
          <w:sz w:val="27"/>
          <w:szCs w:val="27"/>
        </w:rPr>
        <w:t> </w:t>
      </w:r>
    </w:p>
    <w:p w:rsidR="00D15516" w:rsidRPr="00543A97" w:rsidRDefault="00D15516" w:rsidP="00D15516">
      <w:pPr>
        <w:spacing w:line="276" w:lineRule="auto"/>
        <w:ind w:firstLine="709"/>
        <w:jc w:val="both"/>
        <w:rPr>
          <w:color w:val="000000" w:themeColor="text1"/>
        </w:rPr>
      </w:pPr>
      <w:r w:rsidRPr="00543A97">
        <w:rPr>
          <w:color w:val="000000" w:themeColor="text1"/>
          <w:sz w:val="27"/>
          <w:szCs w:val="27"/>
        </w:rPr>
        <w:t xml:space="preserve">При разработке прогноза учитывались сценарные условия функционирования экономики Российской Федерации, индексы-дефляторы цен, анализ тенденций развития экономики муниципального образования.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Имеющийся потенциал территории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ставит задачу его эффективного и рационального использования. В условиях усиления роли  местных властей, требуется поиск путей интеграции и взаимодействия  с населением в решении существующих социально-экономических проблем. </w:t>
      </w:r>
    </w:p>
    <w:p w:rsidR="00D15516" w:rsidRPr="00543A97" w:rsidRDefault="00D15516" w:rsidP="00D15516">
      <w:pPr>
        <w:spacing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В состав   </w:t>
      </w:r>
      <w:r w:rsidR="005E29F4" w:rsidRPr="00543A97">
        <w:rPr>
          <w:color w:val="000000" w:themeColor="text1"/>
          <w:sz w:val="27"/>
          <w:szCs w:val="27"/>
        </w:rPr>
        <w:t>Тат-Верх-Гоньбинского</w:t>
      </w:r>
      <w:r w:rsidRPr="00543A97">
        <w:rPr>
          <w:color w:val="000000" w:themeColor="text1"/>
          <w:sz w:val="27"/>
          <w:szCs w:val="27"/>
        </w:rPr>
        <w:t xml:space="preserve"> сельского поселения входят </w:t>
      </w:r>
      <w:r w:rsidR="005E29F4" w:rsidRPr="00543A97">
        <w:rPr>
          <w:color w:val="000000" w:themeColor="text1"/>
          <w:sz w:val="27"/>
          <w:szCs w:val="27"/>
        </w:rPr>
        <w:t xml:space="preserve">четыре </w:t>
      </w:r>
      <w:r w:rsidRPr="00543A97">
        <w:rPr>
          <w:color w:val="000000" w:themeColor="text1"/>
          <w:sz w:val="27"/>
          <w:szCs w:val="27"/>
        </w:rPr>
        <w:t>населенн</w:t>
      </w:r>
      <w:r w:rsidR="005E29F4" w:rsidRPr="00543A97">
        <w:rPr>
          <w:color w:val="000000" w:themeColor="text1"/>
          <w:sz w:val="27"/>
          <w:szCs w:val="27"/>
        </w:rPr>
        <w:t>ого</w:t>
      </w:r>
      <w:r w:rsidRPr="00543A97">
        <w:rPr>
          <w:color w:val="000000" w:themeColor="text1"/>
          <w:sz w:val="27"/>
          <w:szCs w:val="27"/>
        </w:rPr>
        <w:t xml:space="preserve"> пункт</w:t>
      </w:r>
      <w:r w:rsidR="005E29F4" w:rsidRPr="00543A97">
        <w:rPr>
          <w:color w:val="000000" w:themeColor="text1"/>
          <w:sz w:val="27"/>
          <w:szCs w:val="27"/>
        </w:rPr>
        <w:t>а</w:t>
      </w:r>
      <w:r w:rsidRPr="00543A97">
        <w:rPr>
          <w:color w:val="000000" w:themeColor="text1"/>
          <w:sz w:val="27"/>
          <w:szCs w:val="27"/>
        </w:rPr>
        <w:t>.</w:t>
      </w:r>
    </w:p>
    <w:p w:rsidR="00D15516" w:rsidRPr="00543A97" w:rsidRDefault="00D15516" w:rsidP="00D15516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ab/>
        <w:t>Демографическая ситуация в сельском поселении характеризуется продолжающимся процессом естественной убыли населения, связанной с превышением смертности над рождаемостью и м</w:t>
      </w:r>
      <w:r w:rsidR="005E29F4" w:rsidRPr="00543A97">
        <w:rPr>
          <w:color w:val="000000" w:themeColor="text1"/>
          <w:sz w:val="27"/>
          <w:szCs w:val="27"/>
        </w:rPr>
        <w:t xml:space="preserve">играцией молодого поколения.  </w:t>
      </w:r>
      <w:r w:rsidRPr="00543A97">
        <w:rPr>
          <w:color w:val="000000" w:themeColor="text1"/>
          <w:sz w:val="27"/>
          <w:szCs w:val="27"/>
        </w:rPr>
        <w:t xml:space="preserve">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Структура экономики </w:t>
      </w:r>
      <w:r w:rsidR="005E29F4" w:rsidRPr="00543A97">
        <w:rPr>
          <w:color w:val="000000" w:themeColor="text1"/>
          <w:sz w:val="27"/>
          <w:szCs w:val="27"/>
        </w:rPr>
        <w:t xml:space="preserve">Тат-Верх-Гоньбинского </w:t>
      </w:r>
      <w:r w:rsidRPr="00543A97">
        <w:rPr>
          <w:color w:val="000000" w:themeColor="text1"/>
          <w:sz w:val="27"/>
          <w:szCs w:val="27"/>
        </w:rPr>
        <w:t xml:space="preserve">сельского поселения на протяжении последних лет достаточно стабильна: наибольший удельный вес традиционно принадлежит </w:t>
      </w:r>
      <w:r w:rsidRPr="00543A97">
        <w:rPr>
          <w:rFonts w:eastAsia="A"/>
          <w:color w:val="000000" w:themeColor="text1"/>
          <w:sz w:val="27"/>
          <w:szCs w:val="27"/>
        </w:rPr>
        <w:t>сельскому хозяйству. Зна</w:t>
      </w:r>
      <w:r w:rsidR="005E29F4" w:rsidRPr="00543A97">
        <w:rPr>
          <w:color w:val="000000" w:themeColor="text1"/>
          <w:sz w:val="27"/>
          <w:szCs w:val="27"/>
        </w:rPr>
        <w:t xml:space="preserve">чительную долю занимает </w:t>
      </w:r>
      <w:r w:rsidRPr="00543A97">
        <w:rPr>
          <w:color w:val="000000" w:themeColor="text1"/>
          <w:sz w:val="27"/>
          <w:szCs w:val="27"/>
        </w:rPr>
        <w:t>торговля</w:t>
      </w:r>
      <w:r w:rsidRPr="00543A97">
        <w:rPr>
          <w:rFonts w:eastAsia="A"/>
          <w:color w:val="000000" w:themeColor="text1"/>
          <w:sz w:val="27"/>
          <w:szCs w:val="27"/>
        </w:rPr>
        <w:t xml:space="preserve">. </w:t>
      </w:r>
    </w:p>
    <w:p w:rsidR="00D15516" w:rsidRPr="00543A97" w:rsidRDefault="00D15516" w:rsidP="00D15516">
      <w:pPr>
        <w:spacing w:line="276" w:lineRule="auto"/>
        <w:ind w:firstLine="680"/>
        <w:jc w:val="both"/>
        <w:rPr>
          <w:rFonts w:eastAsia="A"/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Удовлетворение потребностей в жилище, улучшение жилищных условий населения является важнейшим элементом социальной политики, оказывающим влияние на демографическое и социально-экономическое развитие общества, состояние здоровья населения.</w:t>
      </w:r>
    </w:p>
    <w:p w:rsidR="005E29F4" w:rsidRPr="00543A97" w:rsidRDefault="00D15516" w:rsidP="005E29F4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Основные </w:t>
      </w:r>
      <w:proofErr w:type="gramStart"/>
      <w:r w:rsidRPr="00543A97">
        <w:rPr>
          <w:color w:val="000000" w:themeColor="text1"/>
          <w:sz w:val="27"/>
          <w:szCs w:val="27"/>
        </w:rPr>
        <w:t>задачи</w:t>
      </w:r>
      <w:proofErr w:type="gramEnd"/>
      <w:r w:rsidRPr="00543A97">
        <w:rPr>
          <w:color w:val="000000" w:themeColor="text1"/>
          <w:sz w:val="27"/>
          <w:szCs w:val="27"/>
        </w:rPr>
        <w:t xml:space="preserve"> стоящие перед органам</w:t>
      </w:r>
      <w:r w:rsidR="00F85C99" w:rsidRPr="00543A97">
        <w:rPr>
          <w:color w:val="000000" w:themeColor="text1"/>
          <w:sz w:val="27"/>
          <w:szCs w:val="27"/>
        </w:rPr>
        <w:t>и местного самоуправления на 202</w:t>
      </w:r>
      <w:r w:rsidR="00C566F3">
        <w:rPr>
          <w:color w:val="000000" w:themeColor="text1"/>
          <w:sz w:val="27"/>
          <w:szCs w:val="27"/>
        </w:rPr>
        <w:t>5</w:t>
      </w:r>
      <w:r w:rsidRPr="00543A97">
        <w:rPr>
          <w:color w:val="000000" w:themeColor="text1"/>
          <w:sz w:val="27"/>
          <w:szCs w:val="27"/>
        </w:rPr>
        <w:t xml:space="preserve"> год и плановый период до 202</w:t>
      </w:r>
      <w:r w:rsidR="00C566F3">
        <w:rPr>
          <w:color w:val="000000" w:themeColor="text1"/>
          <w:sz w:val="27"/>
          <w:szCs w:val="27"/>
        </w:rPr>
        <w:t>7</w:t>
      </w:r>
      <w:r w:rsidRPr="00543A97">
        <w:rPr>
          <w:color w:val="000000" w:themeColor="text1"/>
          <w:sz w:val="27"/>
          <w:szCs w:val="27"/>
        </w:rPr>
        <w:t xml:space="preserve"> года: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материально-технической базы учреждений культуры;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комфортных и безопасных условий проживания населения;</w:t>
      </w:r>
    </w:p>
    <w:p w:rsidR="00D15516" w:rsidRPr="00543A97" w:rsidRDefault="005E29F4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</w:t>
      </w:r>
      <w:r w:rsidR="00D15516" w:rsidRPr="00543A97">
        <w:rPr>
          <w:color w:val="000000" w:themeColor="text1"/>
          <w:sz w:val="27"/>
          <w:szCs w:val="27"/>
        </w:rPr>
        <w:t>совершенствование системы населения путем повышения качества предоставляемых коммунальных услуг;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- создание условий для развития услуг связи, торговли, общественного питания, </w:t>
      </w:r>
      <w:r w:rsidRPr="00543A97">
        <w:rPr>
          <w:color w:val="000000" w:themeColor="text1"/>
          <w:sz w:val="27"/>
          <w:szCs w:val="27"/>
        </w:rPr>
        <w:lastRenderedPageBreak/>
        <w:t>бытового обслуживания;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- развитие транспортной инфраструктуры – содержание и ремонт дорог общего пользования в границах населенных пунктов сельского поселения;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</w:t>
      </w:r>
      <w:r w:rsidR="005E29F4" w:rsidRPr="00543A97">
        <w:rPr>
          <w:color w:val="000000" w:themeColor="text1"/>
          <w:sz w:val="27"/>
          <w:szCs w:val="27"/>
        </w:rPr>
        <w:t xml:space="preserve"> развитие </w:t>
      </w:r>
      <w:r w:rsidRPr="00543A97">
        <w:rPr>
          <w:color w:val="000000" w:themeColor="text1"/>
          <w:sz w:val="27"/>
          <w:szCs w:val="27"/>
        </w:rPr>
        <w:t>доступа к современным информационным технологиям;</w:t>
      </w:r>
    </w:p>
    <w:p w:rsidR="00D15516" w:rsidRPr="00543A97" w:rsidRDefault="00D15516" w:rsidP="005E29F4">
      <w:pPr>
        <w:widowControl w:val="0"/>
        <w:autoSpaceDE w:val="0"/>
        <w:autoSpaceDN w:val="0"/>
        <w:adjustRightInd w:val="0"/>
        <w:spacing w:line="276" w:lineRule="auto"/>
        <w:ind w:left="142" w:hanging="432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 xml:space="preserve">    - создание эффективной и максимально доступной системы социальной поддержки и адресной социальной помощи жителям поселения;</w:t>
      </w:r>
    </w:p>
    <w:p w:rsidR="00D15516" w:rsidRPr="00543A97" w:rsidRDefault="00D15516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both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pacing w:val="-1"/>
          <w:sz w:val="27"/>
          <w:szCs w:val="27"/>
        </w:rPr>
        <w:t>- реализация</w:t>
      </w:r>
      <w:r w:rsidRPr="00543A97">
        <w:rPr>
          <w:color w:val="000000" w:themeColor="text1"/>
          <w:sz w:val="27"/>
          <w:szCs w:val="27"/>
        </w:rPr>
        <w:t xml:space="preserve"> первоочередных мер по противопожарной защите  </w:t>
      </w:r>
      <w:r w:rsidRPr="00543A97">
        <w:rPr>
          <w:color w:val="000000" w:themeColor="text1"/>
          <w:spacing w:val="-1"/>
          <w:sz w:val="27"/>
          <w:szCs w:val="27"/>
        </w:rPr>
        <w:t xml:space="preserve">объектов сельского поселения, </w:t>
      </w:r>
      <w:r w:rsidRPr="00543A97">
        <w:rPr>
          <w:color w:val="000000" w:themeColor="text1"/>
          <w:sz w:val="27"/>
          <w:szCs w:val="27"/>
        </w:rPr>
        <w:t>совершенствование противопожарной  пропаганды.</w:t>
      </w:r>
    </w:p>
    <w:p w:rsidR="005E29F4" w:rsidRPr="00543A97" w:rsidRDefault="005E29F4" w:rsidP="005E29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hanging="180"/>
        <w:jc w:val="center"/>
        <w:rPr>
          <w:color w:val="000000" w:themeColor="text1"/>
          <w:sz w:val="27"/>
          <w:szCs w:val="27"/>
        </w:rPr>
      </w:pPr>
      <w:r w:rsidRPr="00543A97">
        <w:rPr>
          <w:color w:val="000000" w:themeColor="text1"/>
          <w:sz w:val="27"/>
          <w:szCs w:val="27"/>
        </w:rPr>
        <w:t>________________</w:t>
      </w:r>
    </w:p>
    <w:p w:rsidR="00D15516" w:rsidRPr="00543A97" w:rsidRDefault="00D15516" w:rsidP="00D15516">
      <w:pPr>
        <w:ind w:left="142" w:firstLine="680"/>
        <w:jc w:val="both"/>
        <w:rPr>
          <w:rFonts w:eastAsia="A"/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rPr>
          <w:color w:val="000000" w:themeColor="text1"/>
          <w:sz w:val="27"/>
          <w:szCs w:val="27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center"/>
        <w:rPr>
          <w:b/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D15516" w:rsidRPr="00543A97" w:rsidRDefault="00D15516" w:rsidP="00D15516">
      <w:pPr>
        <w:jc w:val="both"/>
        <w:rPr>
          <w:color w:val="000000" w:themeColor="text1"/>
          <w:sz w:val="28"/>
          <w:szCs w:val="28"/>
        </w:rPr>
      </w:pPr>
    </w:p>
    <w:p w:rsidR="003F7633" w:rsidRPr="00543A97" w:rsidRDefault="003F7633">
      <w:pPr>
        <w:rPr>
          <w:color w:val="000000" w:themeColor="text1"/>
        </w:rPr>
      </w:pPr>
    </w:p>
    <w:sectPr w:rsidR="003F7633" w:rsidRPr="00543A97" w:rsidSect="003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5516"/>
    <w:rsid w:val="00020EE2"/>
    <w:rsid w:val="000D160C"/>
    <w:rsid w:val="000F725A"/>
    <w:rsid w:val="001047B6"/>
    <w:rsid w:val="001F3A93"/>
    <w:rsid w:val="002679FE"/>
    <w:rsid w:val="00286DF3"/>
    <w:rsid w:val="00294093"/>
    <w:rsid w:val="00345950"/>
    <w:rsid w:val="00362036"/>
    <w:rsid w:val="003A308C"/>
    <w:rsid w:val="003F7633"/>
    <w:rsid w:val="00464E1B"/>
    <w:rsid w:val="0048318F"/>
    <w:rsid w:val="00495E10"/>
    <w:rsid w:val="004B4650"/>
    <w:rsid w:val="005043A5"/>
    <w:rsid w:val="00520E16"/>
    <w:rsid w:val="00543A97"/>
    <w:rsid w:val="005742AE"/>
    <w:rsid w:val="00587BE1"/>
    <w:rsid w:val="005E29F4"/>
    <w:rsid w:val="006753E2"/>
    <w:rsid w:val="006F6236"/>
    <w:rsid w:val="00795054"/>
    <w:rsid w:val="007A246F"/>
    <w:rsid w:val="007C1FA5"/>
    <w:rsid w:val="00806817"/>
    <w:rsid w:val="00846558"/>
    <w:rsid w:val="008A5275"/>
    <w:rsid w:val="009214C1"/>
    <w:rsid w:val="009511F9"/>
    <w:rsid w:val="00972BA3"/>
    <w:rsid w:val="00982380"/>
    <w:rsid w:val="00997299"/>
    <w:rsid w:val="009C3CA6"/>
    <w:rsid w:val="009D5B5D"/>
    <w:rsid w:val="00AA3733"/>
    <w:rsid w:val="00AA3876"/>
    <w:rsid w:val="00AD493F"/>
    <w:rsid w:val="00AD6F76"/>
    <w:rsid w:val="00AF395B"/>
    <w:rsid w:val="00B41CC2"/>
    <w:rsid w:val="00BD54E1"/>
    <w:rsid w:val="00C566F3"/>
    <w:rsid w:val="00C7182E"/>
    <w:rsid w:val="00CB534E"/>
    <w:rsid w:val="00CE21A5"/>
    <w:rsid w:val="00D15516"/>
    <w:rsid w:val="00D9189F"/>
    <w:rsid w:val="00D961A8"/>
    <w:rsid w:val="00DC672A"/>
    <w:rsid w:val="00DF65D4"/>
    <w:rsid w:val="00E05B3B"/>
    <w:rsid w:val="00EA6756"/>
    <w:rsid w:val="00EF424F"/>
    <w:rsid w:val="00F36C19"/>
    <w:rsid w:val="00F42AF7"/>
    <w:rsid w:val="00F64289"/>
    <w:rsid w:val="00F85C99"/>
    <w:rsid w:val="00FA7730"/>
    <w:rsid w:val="00FC6084"/>
    <w:rsid w:val="00FE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516"/>
  </w:style>
  <w:style w:type="paragraph" w:customStyle="1" w:styleId="ConsPlusTitle">
    <w:name w:val="ConsPlusTitle"/>
    <w:rsid w:val="009511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511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72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16</cp:revision>
  <cp:lastPrinted>2023-12-05T12:36:00Z</cp:lastPrinted>
  <dcterms:created xsi:type="dcterms:W3CDTF">2022-09-22T08:25:00Z</dcterms:created>
  <dcterms:modified xsi:type="dcterms:W3CDTF">2024-10-11T12:00:00Z</dcterms:modified>
</cp:coreProperties>
</file>